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240" w:afterLines="100" w:line="560" w:lineRule="exact"/>
        <w:ind w:firstLine="2200" w:firstLineChars="500"/>
        <w:jc w:val="both"/>
        <w:outlineLvl w:val="0"/>
        <w:rPr>
          <w:rFonts w:eastAsia="方正小标宋简体"/>
          <w:sz w:val="44"/>
          <w:szCs w:val="44"/>
          <w:highlight w:val="none"/>
          <w:lang w:val="zh-CN"/>
        </w:rPr>
      </w:pPr>
      <w:bookmarkStart w:id="0" w:name="_Toc390713967"/>
      <w:bookmarkStart w:id="1" w:name="_Toc83738977"/>
      <w:bookmarkStart w:id="2" w:name="_Toc285612594"/>
      <w:r>
        <w:rPr>
          <w:rFonts w:eastAsia="方正小标宋简体"/>
          <w:sz w:val="44"/>
          <w:szCs w:val="44"/>
          <w:highlight w:val="none"/>
          <w:lang w:val="zh-CN"/>
        </w:rPr>
        <w:t xml:space="preserve">  采购项目技术和商务要求</w:t>
      </w:r>
      <w:bookmarkEnd w:id="0"/>
      <w:bookmarkEnd w:id="1"/>
      <w:bookmarkEnd w:id="2"/>
    </w:p>
    <w:p>
      <w:pPr>
        <w:pStyle w:val="13"/>
        <w:widowControl w:val="0"/>
        <w:numPr>
          <w:ilvl w:val="0"/>
          <w:numId w:val="1"/>
        </w:numPr>
        <w:autoSpaceDE w:val="0"/>
        <w:autoSpaceDN w:val="0"/>
        <w:adjustRightInd w:val="0"/>
        <w:spacing w:line="560" w:lineRule="exact"/>
        <w:jc w:val="both"/>
        <w:rPr>
          <w:rFonts w:ascii="Times New Roman" w:hAnsi="Times New Roman" w:eastAsia="黑体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黑体"/>
          <w:sz w:val="28"/>
          <w:szCs w:val="28"/>
          <w:highlight w:val="none"/>
          <w:lang w:eastAsia="zh-CN"/>
        </w:rPr>
        <w:t>项目概况</w:t>
      </w:r>
    </w:p>
    <w:p>
      <w:pPr>
        <w:pStyle w:val="13"/>
        <w:widowControl w:val="0"/>
        <w:autoSpaceDE w:val="0"/>
        <w:autoSpaceDN w:val="0"/>
        <w:adjustRightInd w:val="0"/>
        <w:spacing w:line="560" w:lineRule="exact"/>
        <w:ind w:left="0" w:firstLine="560" w:firstLineChars="200"/>
        <w:rPr>
          <w:rFonts w:hint="eastAsia" w:ascii="宋体" w:hAnsi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>招标方提供符合伦理且无传染无危害等生物安全性问题的组织样本，需要投标供应商进行组织样本制备成单细胞核悬液，完成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个样本10x genomics单细胞核转录组测序；平均每个样本产生100G二代测序平台clean data（单个样本数据量往下浮动小于10%）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,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完成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个样本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S1000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空间转录组测序；平均每个样本产生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0G二代测序平台clean data（单个样本数据量往下浮动小于10%）。</w:t>
      </w:r>
    </w:p>
    <w:p>
      <w:pPr>
        <w:pStyle w:val="13"/>
        <w:widowControl w:val="0"/>
        <w:numPr>
          <w:ilvl w:val="0"/>
          <w:numId w:val="1"/>
        </w:numPr>
        <w:autoSpaceDE w:val="0"/>
        <w:autoSpaceDN w:val="0"/>
        <w:adjustRightInd w:val="0"/>
        <w:spacing w:line="560" w:lineRule="exact"/>
        <w:jc w:val="both"/>
        <w:rPr>
          <w:rFonts w:ascii="Times New Roman" w:hAnsi="Times New Roman" w:eastAsia="黑体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黑体"/>
          <w:sz w:val="28"/>
          <w:szCs w:val="28"/>
          <w:highlight w:val="none"/>
          <w:lang w:eastAsia="zh-CN"/>
        </w:rPr>
        <w:t>服务要求</w:t>
      </w:r>
      <w:bookmarkStart w:id="3" w:name="_Hlk116379762"/>
    </w:p>
    <w:p>
      <w:pPr>
        <w:pStyle w:val="13"/>
        <w:widowControl w:val="0"/>
        <w:autoSpaceDE w:val="0"/>
        <w:autoSpaceDN w:val="0"/>
        <w:adjustRightInd w:val="0"/>
        <w:spacing w:line="540" w:lineRule="exact"/>
        <w:ind w:left="293" w:firstLine="273" w:firstLineChars="97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（一）质量要求</w:t>
      </w:r>
    </w:p>
    <w:p>
      <w:pPr>
        <w:spacing w:line="540" w:lineRule="exact"/>
        <w:ind w:firstLine="560" w:firstLineChars="200"/>
        <w:jc w:val="lef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1.组织解离细胞核悬液合格标准（须同时满足）</w:t>
      </w:r>
    </w:p>
    <w:p>
      <w:pPr>
        <w:spacing w:line="54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(1)细胞核活性:&lt;5%；</w:t>
      </w:r>
    </w:p>
    <w:p>
      <w:pPr>
        <w:spacing w:line="54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(2)结团率:&lt;15%；</w:t>
      </w:r>
    </w:p>
    <w:p>
      <w:pPr>
        <w:spacing w:line="54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(3)细胞核浓度范围:700</w:t>
      </w:r>
      <w:r>
        <w:rPr>
          <w:rFonts w:ascii="宋体" w:hAnsi="宋体" w:cs="宋体"/>
          <w:sz w:val="28"/>
          <w:szCs w:val="28"/>
          <w:highlight w:val="none"/>
        </w:rPr>
        <w:t>-</w:t>
      </w:r>
      <w:r>
        <w:rPr>
          <w:rFonts w:hint="eastAsia" w:ascii="宋体" w:hAnsi="宋体" w:cs="宋体"/>
          <w:sz w:val="28"/>
          <w:szCs w:val="28"/>
          <w:highlight w:val="none"/>
        </w:rPr>
        <w:t>1200cells/ul；</w:t>
      </w:r>
    </w:p>
    <w:p>
      <w:pPr>
        <w:spacing w:line="540" w:lineRule="exact"/>
        <w:ind w:firstLine="560" w:firstLineChars="200"/>
        <w:jc w:val="lef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(4)细胞核直径范围:&lt;40um。</w:t>
      </w:r>
    </w:p>
    <w:p>
      <w:pPr>
        <w:spacing w:line="540" w:lineRule="exact"/>
        <w:ind w:firstLine="560" w:firstLineChars="200"/>
        <w:jc w:val="lef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2</w:t>
      </w:r>
      <w:r>
        <w:rPr>
          <w:rFonts w:ascii="宋体" w:hAnsi="宋体" w:cs="宋体"/>
          <w:sz w:val="28"/>
          <w:szCs w:val="28"/>
          <w:highlight w:val="none"/>
        </w:rPr>
        <w:t>.</w:t>
      </w:r>
      <w:r>
        <w:rPr>
          <w:rFonts w:hint="eastAsia" w:ascii="宋体" w:hAnsi="宋体" w:cs="宋体"/>
          <w:sz w:val="28"/>
          <w:szCs w:val="28"/>
          <w:highlight w:val="none"/>
        </w:rPr>
        <w:t>测序质量要求</w:t>
      </w:r>
    </w:p>
    <w:p>
      <w:pPr>
        <w:spacing w:line="54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（1）cDNA峰形呈正态分布状,介于500bp-8000bp,主峰1000bp左右；</w:t>
      </w:r>
    </w:p>
    <w:p>
      <w:pPr>
        <w:spacing w:line="54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</w:t>
      </w:r>
      <w:r>
        <w:rPr>
          <w:rFonts w:ascii="宋体" w:hAnsi="宋体" w:cs="宋体"/>
          <w:sz w:val="28"/>
          <w:szCs w:val="28"/>
          <w:highlight w:val="none"/>
        </w:rPr>
        <w:t>2</w:t>
      </w:r>
      <w:r>
        <w:rPr>
          <w:rFonts w:hint="eastAsia" w:ascii="宋体" w:hAnsi="宋体" w:cs="宋体"/>
          <w:sz w:val="28"/>
          <w:szCs w:val="28"/>
          <w:highlight w:val="none"/>
        </w:rPr>
        <w:t>）cDNA文库浓度≥lng/ul；</w:t>
      </w:r>
    </w:p>
    <w:p>
      <w:pPr>
        <w:spacing w:line="54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</w:t>
      </w:r>
      <w:r>
        <w:rPr>
          <w:rFonts w:ascii="宋体" w:hAnsi="宋体" w:cs="宋体"/>
          <w:sz w:val="28"/>
          <w:szCs w:val="28"/>
          <w:highlight w:val="none"/>
        </w:rPr>
        <w:t>3</w:t>
      </w:r>
      <w:r>
        <w:rPr>
          <w:rFonts w:hint="eastAsia" w:ascii="宋体" w:hAnsi="宋体" w:cs="宋体"/>
          <w:sz w:val="28"/>
          <w:szCs w:val="28"/>
          <w:highlight w:val="none"/>
        </w:rPr>
        <w:t>）文库测序数据量≥I00GBasc（根据实际细胞核捕获数而定）；</w:t>
      </w:r>
    </w:p>
    <w:p>
      <w:pPr>
        <w:spacing w:line="54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</w:t>
      </w:r>
      <w:r>
        <w:rPr>
          <w:rFonts w:ascii="宋体" w:hAnsi="宋体" w:cs="宋体"/>
          <w:sz w:val="28"/>
          <w:szCs w:val="28"/>
          <w:highlight w:val="none"/>
        </w:rPr>
        <w:t>4</w:t>
      </w:r>
      <w:r>
        <w:rPr>
          <w:rFonts w:hint="eastAsia" w:ascii="宋体" w:hAnsi="宋体" w:cs="宋体"/>
          <w:sz w:val="28"/>
          <w:szCs w:val="28"/>
          <w:highlight w:val="none"/>
        </w:rPr>
        <w:t>）Q30&gt;85%；</w:t>
      </w:r>
    </w:p>
    <w:p>
      <w:pPr>
        <w:spacing w:line="54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</w:t>
      </w:r>
      <w:r>
        <w:rPr>
          <w:rFonts w:ascii="宋体" w:hAnsi="宋体" w:cs="宋体"/>
          <w:sz w:val="28"/>
          <w:szCs w:val="28"/>
          <w:highlight w:val="none"/>
        </w:rPr>
        <w:t>5</w:t>
      </w:r>
      <w:r>
        <w:rPr>
          <w:rFonts w:hint="eastAsia" w:ascii="宋体" w:hAnsi="宋体" w:cs="宋体"/>
          <w:sz w:val="28"/>
          <w:szCs w:val="28"/>
          <w:highlight w:val="none"/>
        </w:rPr>
        <w:t>）测序数据基因组比对率≥85%；</w:t>
      </w:r>
    </w:p>
    <w:p>
      <w:pPr>
        <w:spacing w:line="54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</w:t>
      </w:r>
      <w:r>
        <w:rPr>
          <w:rFonts w:ascii="宋体" w:hAnsi="宋体" w:cs="宋体"/>
          <w:sz w:val="28"/>
          <w:szCs w:val="28"/>
          <w:highlight w:val="none"/>
        </w:rPr>
        <w:t>6</w:t>
      </w:r>
      <w:r>
        <w:rPr>
          <w:rFonts w:hint="eastAsia" w:ascii="宋体" w:hAnsi="宋体" w:cs="宋体"/>
          <w:sz w:val="28"/>
          <w:szCs w:val="28"/>
          <w:highlight w:val="none"/>
        </w:rPr>
        <w:t>）目标捕获细胞核数浮动范围在50%以内；</w:t>
      </w:r>
    </w:p>
    <w:p>
      <w:pPr>
        <w:spacing w:line="54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</w:t>
      </w:r>
      <w:r>
        <w:rPr>
          <w:rFonts w:ascii="宋体" w:hAnsi="宋体" w:cs="宋体"/>
          <w:sz w:val="28"/>
          <w:szCs w:val="28"/>
          <w:highlight w:val="none"/>
        </w:rPr>
        <w:t>7</w:t>
      </w:r>
      <w:r>
        <w:rPr>
          <w:rFonts w:hint="eastAsia" w:ascii="宋体" w:hAnsi="宋体" w:cs="宋体"/>
          <w:sz w:val="28"/>
          <w:szCs w:val="28"/>
          <w:highlight w:val="none"/>
        </w:rPr>
        <w:t>）细胞核平均reads&gt;20k；</w:t>
      </w:r>
    </w:p>
    <w:p>
      <w:pPr>
        <w:spacing w:line="54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</w:t>
      </w:r>
      <w:r>
        <w:rPr>
          <w:rFonts w:ascii="宋体" w:hAnsi="宋体" w:cs="宋体"/>
          <w:sz w:val="28"/>
          <w:szCs w:val="28"/>
          <w:highlight w:val="none"/>
        </w:rPr>
        <w:t>8</w:t>
      </w:r>
      <w:r>
        <w:rPr>
          <w:rFonts w:hint="eastAsia" w:ascii="宋体" w:hAnsi="宋体" w:cs="宋体"/>
          <w:sz w:val="28"/>
          <w:szCs w:val="28"/>
          <w:highlight w:val="none"/>
        </w:rPr>
        <w:t>）细胞核基因中位数≥600；</w:t>
      </w:r>
    </w:p>
    <w:p>
      <w:pPr>
        <w:spacing w:line="54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</w:t>
      </w:r>
      <w:r>
        <w:rPr>
          <w:rFonts w:ascii="宋体" w:hAnsi="宋体" w:cs="宋体"/>
          <w:sz w:val="28"/>
          <w:szCs w:val="28"/>
          <w:highlight w:val="none"/>
        </w:rPr>
        <w:t>9</w:t>
      </w:r>
      <w:r>
        <w:rPr>
          <w:rFonts w:hint="eastAsia" w:ascii="宋体" w:hAnsi="宋体" w:cs="宋体"/>
          <w:sz w:val="28"/>
          <w:szCs w:val="28"/>
          <w:highlight w:val="none"/>
        </w:rPr>
        <w:t>）线粒体基因比率&lt;25%的细胞占比70%以上；</w:t>
      </w:r>
    </w:p>
    <w:p>
      <w:pPr>
        <w:spacing w:line="54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</w:t>
      </w:r>
      <w:r>
        <w:rPr>
          <w:rFonts w:ascii="宋体" w:hAnsi="宋体" w:cs="宋体"/>
          <w:sz w:val="28"/>
          <w:szCs w:val="28"/>
          <w:highlight w:val="none"/>
        </w:rPr>
        <w:t>10</w:t>
      </w:r>
      <w:r>
        <w:rPr>
          <w:rFonts w:hint="eastAsia" w:ascii="宋体" w:hAnsi="宋体" w:cs="宋体"/>
          <w:sz w:val="28"/>
          <w:szCs w:val="28"/>
          <w:highlight w:val="none"/>
        </w:rPr>
        <w:t>）鉴定的细胞类型正常，包含组织实质细胞和免疫细胞等类群。</w:t>
      </w:r>
    </w:p>
    <w:p>
      <w:pPr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br w:type="page"/>
      </w:r>
    </w:p>
    <w:p>
      <w:pPr>
        <w:spacing w:line="540" w:lineRule="exact"/>
        <w:ind w:firstLine="562" w:firstLineChars="200"/>
        <w:jc w:val="left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（二）设施设备要求</w:t>
      </w:r>
    </w:p>
    <w:p>
      <w:pPr>
        <w:spacing w:line="540" w:lineRule="exact"/>
        <w:ind w:firstLine="560" w:firstLineChars="200"/>
        <w:jc w:val="lef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1</w:t>
      </w:r>
      <w:r>
        <w:rPr>
          <w:rFonts w:ascii="宋体" w:hAnsi="宋体" w:cs="宋体"/>
          <w:sz w:val="28"/>
          <w:szCs w:val="28"/>
          <w:highlight w:val="none"/>
        </w:rPr>
        <w:t>.</w:t>
      </w:r>
      <w:r>
        <w:rPr>
          <w:rFonts w:hint="eastAsia" w:ascii="宋体" w:hAnsi="宋体" w:cs="宋体"/>
          <w:sz w:val="28"/>
          <w:szCs w:val="28"/>
          <w:highlight w:val="none"/>
        </w:rPr>
        <w:t>10X Genomics系统参数</w:t>
      </w:r>
    </w:p>
    <w:p>
      <w:pPr>
        <w:spacing w:line="54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</w:t>
      </w:r>
      <w:r>
        <w:rPr>
          <w:rFonts w:ascii="宋体" w:hAnsi="宋体" w:cs="宋体"/>
          <w:sz w:val="28"/>
          <w:szCs w:val="28"/>
          <w:highlight w:val="none"/>
        </w:rPr>
        <w:t>1</w:t>
      </w:r>
      <w:r>
        <w:rPr>
          <w:rFonts w:hint="eastAsia" w:ascii="宋体" w:hAnsi="宋体" w:cs="宋体"/>
          <w:sz w:val="28"/>
          <w:szCs w:val="28"/>
          <w:highlight w:val="none"/>
        </w:rPr>
        <w:t xml:space="preserve">）系统可产生≥75万个独立的液滴反应体系； </w:t>
      </w:r>
    </w:p>
    <w:p>
      <w:pPr>
        <w:spacing w:line="54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</w:t>
      </w:r>
      <w:r>
        <w:rPr>
          <w:rFonts w:ascii="宋体" w:hAnsi="宋体" w:cs="宋体"/>
          <w:sz w:val="28"/>
          <w:szCs w:val="28"/>
          <w:highlight w:val="none"/>
        </w:rPr>
        <w:t>2</w:t>
      </w:r>
      <w:r>
        <w:rPr>
          <w:rFonts w:hint="eastAsia" w:ascii="宋体" w:hAnsi="宋体" w:cs="宋体"/>
          <w:sz w:val="28"/>
          <w:szCs w:val="28"/>
          <w:highlight w:val="none"/>
        </w:rPr>
        <w:t>） 可提供≥4百万种不同的标记barcodes；</w:t>
      </w:r>
    </w:p>
    <w:p>
      <w:pPr>
        <w:spacing w:line="54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</w:t>
      </w:r>
      <w:r>
        <w:rPr>
          <w:rFonts w:ascii="宋体" w:hAnsi="宋体" w:cs="宋体"/>
          <w:sz w:val="28"/>
          <w:szCs w:val="28"/>
          <w:highlight w:val="none"/>
        </w:rPr>
        <w:t>3</w:t>
      </w:r>
      <w:r>
        <w:rPr>
          <w:rFonts w:hint="eastAsia" w:ascii="宋体" w:hAnsi="宋体" w:cs="宋体"/>
          <w:sz w:val="28"/>
          <w:szCs w:val="28"/>
          <w:highlight w:val="none"/>
        </w:rPr>
        <w:t>） 细胞捕获效率达到60%以上（目标捕获细胞数~8000）；</w:t>
      </w:r>
    </w:p>
    <w:p>
      <w:pPr>
        <w:spacing w:line="540" w:lineRule="exact"/>
        <w:ind w:firstLine="560" w:firstLineChars="200"/>
        <w:jc w:val="lef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</w:t>
      </w:r>
      <w:r>
        <w:rPr>
          <w:rFonts w:ascii="宋体" w:hAnsi="宋体" w:cs="宋体"/>
          <w:sz w:val="28"/>
          <w:szCs w:val="28"/>
          <w:highlight w:val="none"/>
        </w:rPr>
        <w:t>4</w:t>
      </w:r>
      <w:r>
        <w:rPr>
          <w:rFonts w:hint="eastAsia" w:ascii="宋体" w:hAnsi="宋体" w:cs="宋体"/>
          <w:sz w:val="28"/>
          <w:szCs w:val="28"/>
          <w:highlight w:val="none"/>
        </w:rPr>
        <w:t>）一次可同时处理样本数量≥8个。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2</w:t>
      </w:r>
      <w:r>
        <w:rPr>
          <w:rFonts w:ascii="宋体" w:hAnsi="宋体" w:cs="宋体"/>
          <w:sz w:val="28"/>
          <w:szCs w:val="28"/>
          <w:highlight w:val="none"/>
        </w:rPr>
        <w:t>.</w:t>
      </w:r>
      <w:r>
        <w:rPr>
          <w:rFonts w:hint="eastAsia" w:ascii="宋体" w:hAnsi="宋体" w:cs="宋体"/>
          <w:sz w:val="28"/>
          <w:szCs w:val="28"/>
          <w:highlight w:val="none"/>
        </w:rPr>
        <w:t>生物信息分析服务器配置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</w:t>
      </w:r>
      <w:r>
        <w:rPr>
          <w:rFonts w:ascii="宋体" w:hAnsi="宋体" w:cs="宋体"/>
          <w:sz w:val="28"/>
          <w:szCs w:val="28"/>
          <w:highlight w:val="none"/>
        </w:rPr>
        <w:t>1</w:t>
      </w:r>
      <w:r>
        <w:rPr>
          <w:rFonts w:hint="eastAsia" w:ascii="宋体" w:hAnsi="宋体" w:cs="宋体"/>
          <w:sz w:val="28"/>
          <w:szCs w:val="28"/>
          <w:highlight w:val="none"/>
        </w:rPr>
        <w:t>）计算节点：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280</w:t>
      </w:r>
      <w:r>
        <w:rPr>
          <w:rFonts w:hint="eastAsia" w:ascii="宋体" w:hAnsi="宋体" w:cs="宋体"/>
          <w:sz w:val="28"/>
          <w:szCs w:val="28"/>
          <w:highlight w:val="none"/>
        </w:rPr>
        <w:t>个；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</w:t>
      </w:r>
      <w:r>
        <w:rPr>
          <w:rFonts w:ascii="宋体" w:hAnsi="宋体" w:cs="宋体"/>
          <w:sz w:val="28"/>
          <w:szCs w:val="28"/>
          <w:highlight w:val="none"/>
        </w:rPr>
        <w:t>2</w:t>
      </w:r>
      <w:r>
        <w:rPr>
          <w:rFonts w:hint="eastAsia" w:ascii="宋体" w:hAnsi="宋体" w:cs="宋体"/>
          <w:sz w:val="28"/>
          <w:szCs w:val="28"/>
          <w:highlight w:val="none"/>
        </w:rPr>
        <w:t>）存储节点: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40</w:t>
      </w:r>
      <w:r>
        <w:rPr>
          <w:rFonts w:hint="eastAsia" w:ascii="宋体" w:hAnsi="宋体" w:cs="宋体"/>
          <w:sz w:val="28"/>
          <w:szCs w:val="28"/>
          <w:highlight w:val="none"/>
        </w:rPr>
        <w:t>个（分布式存储）；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</w:t>
      </w:r>
      <w:r>
        <w:rPr>
          <w:rFonts w:ascii="宋体" w:hAnsi="宋体" w:cs="宋体"/>
          <w:sz w:val="28"/>
          <w:szCs w:val="28"/>
          <w:highlight w:val="none"/>
        </w:rPr>
        <w:t>3</w:t>
      </w:r>
      <w:r>
        <w:rPr>
          <w:rFonts w:hint="eastAsia" w:ascii="宋体" w:hAnsi="宋体" w:cs="宋体"/>
          <w:sz w:val="28"/>
          <w:szCs w:val="28"/>
          <w:highlight w:val="none"/>
        </w:rPr>
        <w:t>）CPU物理核/线程总数:7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840</w:t>
      </w:r>
      <w:r>
        <w:rPr>
          <w:rFonts w:hint="eastAsia" w:ascii="宋体" w:hAnsi="宋体" w:cs="宋体"/>
          <w:sz w:val="28"/>
          <w:szCs w:val="28"/>
          <w:highlight w:val="none"/>
        </w:rPr>
        <w:t>个/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15680</w:t>
      </w:r>
      <w:r>
        <w:rPr>
          <w:rFonts w:hint="eastAsia" w:ascii="宋体" w:hAnsi="宋体" w:cs="宋体"/>
          <w:sz w:val="28"/>
          <w:szCs w:val="28"/>
          <w:highlight w:val="none"/>
        </w:rPr>
        <w:t>个；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</w:t>
      </w:r>
      <w:r>
        <w:rPr>
          <w:rFonts w:ascii="宋体" w:hAnsi="宋体" w:cs="宋体"/>
          <w:sz w:val="28"/>
          <w:szCs w:val="28"/>
          <w:highlight w:val="none"/>
        </w:rPr>
        <w:t>4</w:t>
      </w:r>
      <w:r>
        <w:rPr>
          <w:rFonts w:hint="eastAsia" w:ascii="宋体" w:hAnsi="宋体" w:cs="宋体"/>
          <w:sz w:val="28"/>
          <w:szCs w:val="28"/>
          <w:highlight w:val="none"/>
        </w:rPr>
        <w:t>）运行内存：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  <w:highlight w:val="none"/>
        </w:rPr>
        <w:t>0TB；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</w:t>
      </w:r>
      <w:r>
        <w:rPr>
          <w:rFonts w:ascii="宋体" w:hAnsi="宋体" w:cs="宋体"/>
          <w:sz w:val="28"/>
          <w:szCs w:val="28"/>
          <w:highlight w:val="none"/>
        </w:rPr>
        <w:t>5</w:t>
      </w:r>
      <w:r>
        <w:rPr>
          <w:rFonts w:hint="eastAsia" w:ascii="宋体" w:hAnsi="宋体" w:cs="宋体"/>
          <w:sz w:val="28"/>
          <w:szCs w:val="28"/>
          <w:highlight w:val="none"/>
        </w:rPr>
        <w:t>）存储总容量: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highlight w:val="none"/>
        </w:rPr>
        <w:t>0PB；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</w:t>
      </w:r>
      <w:r>
        <w:rPr>
          <w:rFonts w:ascii="宋体" w:hAnsi="宋体" w:cs="宋体"/>
          <w:sz w:val="28"/>
          <w:szCs w:val="28"/>
          <w:highlight w:val="none"/>
        </w:rPr>
        <w:t>6</w:t>
      </w:r>
      <w:r>
        <w:rPr>
          <w:rFonts w:hint="eastAsia" w:ascii="宋体" w:hAnsi="宋体" w:cs="宋体"/>
          <w:sz w:val="28"/>
          <w:szCs w:val="28"/>
          <w:highlight w:val="none"/>
        </w:rPr>
        <w:t>）—级存储: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宋体" w:hAnsi="宋体" w:cs="宋体"/>
          <w:sz w:val="28"/>
          <w:szCs w:val="28"/>
          <w:highlight w:val="none"/>
        </w:rPr>
        <w:t>PB；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</w:t>
      </w:r>
      <w:r>
        <w:rPr>
          <w:rFonts w:ascii="宋体" w:hAnsi="宋体" w:cs="宋体"/>
          <w:sz w:val="28"/>
          <w:szCs w:val="28"/>
          <w:highlight w:val="none"/>
        </w:rPr>
        <w:t>7</w:t>
      </w:r>
      <w:r>
        <w:rPr>
          <w:rFonts w:hint="eastAsia" w:ascii="宋体" w:hAnsi="宋体" w:cs="宋体"/>
          <w:sz w:val="28"/>
          <w:szCs w:val="28"/>
          <w:highlight w:val="none"/>
        </w:rPr>
        <w:t>）二级存储: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宋体" w:hAnsi="宋体" w:cs="宋体"/>
          <w:sz w:val="28"/>
          <w:szCs w:val="28"/>
          <w:highlight w:val="none"/>
        </w:rPr>
        <w:t>PB；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</w:t>
      </w:r>
      <w:r>
        <w:rPr>
          <w:rFonts w:ascii="宋体" w:hAnsi="宋体" w:cs="宋体"/>
          <w:sz w:val="28"/>
          <w:szCs w:val="28"/>
          <w:highlight w:val="none"/>
        </w:rPr>
        <w:t>8</w:t>
      </w:r>
      <w:r>
        <w:rPr>
          <w:rFonts w:hint="eastAsia" w:ascii="宋体" w:hAnsi="宋体" w:cs="宋体"/>
          <w:sz w:val="28"/>
          <w:szCs w:val="28"/>
          <w:highlight w:val="none"/>
        </w:rPr>
        <w:t>）分析时间:①低通量模式：&lt;8样本并行分析72h；②高通量模式：满负荷运行最大支持并行分析样本不设上限。</w:t>
      </w:r>
    </w:p>
    <w:p>
      <w:pPr>
        <w:spacing w:line="540" w:lineRule="exact"/>
        <w:ind w:firstLine="562" w:firstLineChars="200"/>
        <w:jc w:val="left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（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）数据分析要求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提供标准分析（差异基因功能富集分析，细胞聚类分析，细胞周期鉴定等）+高级分析（拟时序分析，细胞通讯分析，加权分析等）+定制化分析（根据客户实际需求确定）。</w:t>
      </w:r>
    </w:p>
    <w:p>
      <w:pPr>
        <w:pStyle w:val="2"/>
        <w:ind w:left="0" w:leftChars="0" w:firstLine="0" w:firstLineChars="0"/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   A 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10x genomics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  <w:t>单细胞转录组分析要求如下：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1</w:t>
      </w:r>
      <w:r>
        <w:rPr>
          <w:rFonts w:ascii="宋体" w:hAnsi="宋体" w:cs="宋体"/>
          <w:sz w:val="28"/>
          <w:szCs w:val="28"/>
          <w:highlight w:val="none"/>
        </w:rPr>
        <w:t>.</w:t>
      </w:r>
      <w:r>
        <w:rPr>
          <w:rFonts w:hint="eastAsia" w:ascii="宋体" w:hAnsi="宋体" w:cs="宋体"/>
          <w:sz w:val="28"/>
          <w:szCs w:val="28"/>
          <w:highlight w:val="none"/>
        </w:rPr>
        <w:t xml:space="preserve"> 标准分析内容</w:t>
      </w:r>
    </w:p>
    <w:p>
      <w:pPr>
        <w:spacing w:line="56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数据质控拆分及表达定量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(1)</w:t>
      </w: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宋体" w:hAnsi="宋体" w:cs="宋体"/>
          <w:sz w:val="28"/>
          <w:szCs w:val="28"/>
          <w:highlight w:val="none"/>
        </w:rPr>
        <w:t>下机数据测序质量值分布统计；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(2)</w:t>
      </w: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宋体" w:hAnsi="宋体" w:cs="宋体"/>
          <w:sz w:val="28"/>
          <w:szCs w:val="28"/>
          <w:highlight w:val="none"/>
        </w:rPr>
        <w:t>测序数据产出统计；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(3)</w:t>
      </w: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宋体" w:hAnsi="宋体" w:cs="宋体"/>
          <w:sz w:val="28"/>
          <w:szCs w:val="28"/>
          <w:highlight w:val="none"/>
        </w:rPr>
        <w:t>文库质量评估：测序饱和度分析，基因水平定量分析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(4)</w:t>
      </w: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宋体" w:hAnsi="宋体" w:cs="宋体"/>
          <w:sz w:val="28"/>
          <w:szCs w:val="28"/>
          <w:highlight w:val="none"/>
        </w:rPr>
        <w:t>单细胞数据基本分析：细胞核数目统计，单个细胞核reads数目统计等；</w:t>
      </w:r>
    </w:p>
    <w:p>
      <w:pPr>
        <w:spacing w:line="56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单样本分析-基因水平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(5)</w:t>
      </w: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宋体" w:hAnsi="宋体" w:cs="宋体"/>
          <w:sz w:val="28"/>
          <w:szCs w:val="28"/>
          <w:highlight w:val="none"/>
        </w:rPr>
        <w:t>根据基因表达矩阵进行细胞聚类分析；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(6)</w:t>
      </w: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宋体" w:hAnsi="宋体" w:cs="宋体"/>
          <w:sz w:val="28"/>
          <w:szCs w:val="28"/>
          <w:highlight w:val="none"/>
        </w:rPr>
        <w:t>基因表达量分析：基因表达定量；不同样本基因表达量总体分布分析（两个或以上样本）；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(7)</w:t>
      </w: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宋体" w:hAnsi="宋体" w:cs="宋体"/>
          <w:sz w:val="28"/>
          <w:szCs w:val="28"/>
          <w:highlight w:val="none"/>
        </w:rPr>
        <w:t>差异表达基因分析（两个或以上样本）；标记基因分析，已知细胞类型鉴定；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(8)</w:t>
      </w: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宋体" w:hAnsi="宋体" w:cs="宋体"/>
          <w:sz w:val="28"/>
          <w:szCs w:val="28"/>
          <w:highlight w:val="none"/>
        </w:rPr>
        <w:t>各cluster标记基因蛋白互作分析；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(9)</w:t>
      </w: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宋体" w:hAnsi="宋体" w:cs="宋体"/>
          <w:sz w:val="28"/>
          <w:szCs w:val="28"/>
          <w:highlight w:val="none"/>
        </w:rPr>
        <w:t>差异表达基因聚类分析（两个或以上样本）；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(10)</w:t>
      </w: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宋体" w:hAnsi="宋体" w:cs="宋体"/>
          <w:sz w:val="28"/>
          <w:szCs w:val="28"/>
          <w:highlight w:val="none"/>
        </w:rPr>
        <w:t>差异表达基因TF预测（仅限人和鼠）；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(11)</w:t>
      </w: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宋体" w:hAnsi="宋体" w:cs="宋体"/>
          <w:sz w:val="28"/>
          <w:szCs w:val="28"/>
          <w:highlight w:val="none"/>
        </w:rPr>
        <w:t>差异表达基因蛋白互作分析；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(12)</w:t>
      </w: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宋体" w:hAnsi="宋体" w:cs="宋体"/>
          <w:sz w:val="28"/>
          <w:szCs w:val="28"/>
          <w:highlight w:val="none"/>
        </w:rPr>
        <w:t>差异表达基因疾病数据库注释（仅限人）；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(13)</w:t>
      </w: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宋体" w:hAnsi="宋体" w:cs="宋体"/>
          <w:sz w:val="28"/>
          <w:szCs w:val="28"/>
          <w:highlight w:val="none"/>
        </w:rPr>
        <w:t>差异表达基因的功能注释及富集分析：差异表达基因GO功能富集；差异表达基因KEGG通路富集分析与pathway 功能分析；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(14)</w:t>
      </w: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宋体" w:hAnsi="宋体" w:cs="宋体"/>
          <w:sz w:val="28"/>
          <w:szCs w:val="28"/>
          <w:highlight w:val="none"/>
        </w:rPr>
        <w:t>各cluster 基因集富集分析；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(15)</w:t>
      </w: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宋体" w:hAnsi="宋体" w:cs="宋体"/>
          <w:sz w:val="28"/>
          <w:szCs w:val="28"/>
          <w:highlight w:val="none"/>
        </w:rPr>
        <w:t>亚群拟时轨迹分析；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(16)</w:t>
      </w: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宋体" w:hAnsi="宋体" w:cs="宋体"/>
          <w:sz w:val="28"/>
          <w:szCs w:val="28"/>
          <w:highlight w:val="none"/>
        </w:rPr>
        <w:t>细胞周期鉴定（仅限人和鼠）；</w:t>
      </w:r>
    </w:p>
    <w:p>
      <w:pPr>
        <w:spacing w:line="56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多样本合并分析-基因水平，样本数&gt;=2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(17)</w:t>
      </w: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宋体" w:hAnsi="宋体" w:cs="宋体"/>
          <w:sz w:val="28"/>
          <w:szCs w:val="28"/>
          <w:highlight w:val="none"/>
        </w:rPr>
        <w:t>细胞聚类分析；亚群比例分析；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(18)</w:t>
      </w: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宋体" w:hAnsi="宋体" w:cs="宋体"/>
          <w:sz w:val="28"/>
          <w:szCs w:val="28"/>
          <w:highlight w:val="none"/>
        </w:rPr>
        <w:t>亚群间的基因差异表达分析；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(19)</w:t>
      </w: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宋体" w:hAnsi="宋体" w:cs="宋体"/>
          <w:sz w:val="28"/>
          <w:szCs w:val="28"/>
          <w:highlight w:val="none"/>
        </w:rPr>
        <w:t>亚群的标记基因分析，已知细胞类型鉴定；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(20)</w:t>
      </w: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宋体" w:hAnsi="宋体" w:cs="宋体"/>
          <w:sz w:val="28"/>
          <w:szCs w:val="28"/>
          <w:highlight w:val="none"/>
        </w:rPr>
        <w:t>各亚群不同组间基因差异表达分析(group&gt;=2)；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(21)</w:t>
      </w: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宋体" w:hAnsi="宋体" w:cs="宋体"/>
          <w:sz w:val="28"/>
          <w:szCs w:val="28"/>
          <w:highlight w:val="none"/>
        </w:rPr>
        <w:t>差异基因GO分析；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(22)</w:t>
      </w: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宋体" w:hAnsi="宋体" w:cs="宋体"/>
          <w:sz w:val="28"/>
          <w:szCs w:val="28"/>
          <w:highlight w:val="none"/>
        </w:rPr>
        <w:t>差异基因KEGG pathway分析；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(23)</w:t>
      </w: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宋体" w:hAnsi="宋体" w:cs="宋体"/>
          <w:sz w:val="28"/>
          <w:szCs w:val="28"/>
          <w:highlight w:val="none"/>
        </w:rPr>
        <w:t>差异基因蛋白互作分析；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(24)</w:t>
      </w: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宋体" w:hAnsi="宋体" w:cs="宋体"/>
          <w:sz w:val="28"/>
          <w:szCs w:val="28"/>
          <w:highlight w:val="none"/>
        </w:rPr>
        <w:t>差异基因疾病数据库注释（仅限人）；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(25)</w:t>
      </w: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宋体" w:hAnsi="宋体" w:cs="宋体"/>
          <w:sz w:val="28"/>
          <w:szCs w:val="28"/>
          <w:highlight w:val="none"/>
        </w:rPr>
        <w:t>差异基因TF分析（仅限人和鼠）；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(26)</w:t>
      </w: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宋体" w:hAnsi="宋体" w:cs="宋体"/>
          <w:sz w:val="28"/>
          <w:szCs w:val="28"/>
          <w:highlight w:val="none"/>
        </w:rPr>
        <w:t>各cluster 基因集富集分析；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(27)</w:t>
      </w: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宋体" w:hAnsi="宋体" w:cs="宋体"/>
          <w:sz w:val="28"/>
          <w:szCs w:val="28"/>
          <w:highlight w:val="none"/>
        </w:rPr>
        <w:t>细胞周期鉴定（仅限人和鼠）；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ascii="宋体" w:hAnsi="宋体" w:cs="宋体"/>
          <w:sz w:val="28"/>
          <w:szCs w:val="28"/>
          <w:highlight w:val="none"/>
        </w:rPr>
        <w:t>2.</w:t>
      </w:r>
      <w:r>
        <w:rPr>
          <w:rFonts w:hint="eastAsia" w:ascii="宋体" w:hAnsi="宋体" w:cs="宋体"/>
          <w:sz w:val="28"/>
          <w:szCs w:val="28"/>
          <w:highlight w:val="none"/>
        </w:rPr>
        <w:t>高级分析内容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(1)</w:t>
      </w: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宋体" w:hAnsi="宋体" w:cs="宋体"/>
          <w:sz w:val="28"/>
          <w:szCs w:val="28"/>
          <w:highlight w:val="none"/>
        </w:rPr>
        <w:t xml:space="preserve"> 拟时序分析；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(2)</w:t>
      </w: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宋体" w:hAnsi="宋体" w:cs="宋体"/>
          <w:sz w:val="28"/>
          <w:szCs w:val="28"/>
          <w:highlight w:val="none"/>
        </w:rPr>
        <w:t>细胞通讯分析；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(3)</w:t>
      </w: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宋体" w:hAnsi="宋体" w:cs="宋体"/>
          <w:sz w:val="28"/>
          <w:szCs w:val="28"/>
          <w:highlight w:val="none"/>
        </w:rPr>
        <w:t>GSEA分析；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(4)</w:t>
      </w: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宋体" w:hAnsi="宋体" w:cs="宋体"/>
          <w:sz w:val="28"/>
          <w:szCs w:val="28"/>
          <w:highlight w:val="none"/>
        </w:rPr>
        <w:t>GSVA分析；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(5)</w:t>
      </w: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宋体" w:hAnsi="宋体" w:cs="宋体"/>
          <w:sz w:val="28"/>
          <w:szCs w:val="28"/>
          <w:highlight w:val="none"/>
        </w:rPr>
        <w:t>肿瘤拷贝数变异分析；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(6)</w:t>
      </w: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宋体" w:hAnsi="宋体" w:cs="宋体"/>
          <w:sz w:val="28"/>
          <w:szCs w:val="28"/>
          <w:highlight w:val="none"/>
        </w:rPr>
        <w:t>转录因子活性分析；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(7)</w:t>
      </w: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宋体" w:hAnsi="宋体" w:cs="宋体"/>
          <w:sz w:val="28"/>
          <w:szCs w:val="28"/>
          <w:highlight w:val="none"/>
        </w:rPr>
        <w:t>加权基因共表达网络分析。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ascii="宋体" w:hAnsi="宋体" w:cs="宋体"/>
          <w:sz w:val="28"/>
          <w:szCs w:val="28"/>
          <w:highlight w:val="none"/>
        </w:rPr>
        <w:t>3.</w:t>
      </w:r>
      <w:r>
        <w:rPr>
          <w:rFonts w:hint="eastAsia" w:ascii="宋体" w:hAnsi="宋体" w:cs="宋体"/>
          <w:sz w:val="28"/>
          <w:szCs w:val="28"/>
          <w:highlight w:val="none"/>
        </w:rPr>
        <w:t>定制化分析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提供cellphonedb分析及cellchat分析，其他根据采购单位实际需求确定。</w:t>
      </w:r>
    </w:p>
    <w:p>
      <w:pPr>
        <w:pStyle w:val="2"/>
        <w:ind w:left="0" w:leftChars="0" w:firstLine="643" w:firstLineChars="200"/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val="en-US" w:eastAsia="zh-CN" w:bidi="ar-SA"/>
        </w:rPr>
        <w:t>B S1000空间转录组分析要求如下：</w:t>
      </w:r>
    </w:p>
    <w:p>
      <w:pPr>
        <w:pStyle w:val="2"/>
        <w:numPr>
          <w:ilvl w:val="0"/>
          <w:numId w:val="2"/>
        </w:numPr>
        <w:ind w:right="6" w:rightChars="0"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  <w:t>标准分析</w:t>
      </w:r>
    </w:p>
    <w:p>
      <w:pPr>
        <w:pStyle w:val="13"/>
        <w:numPr>
          <w:ilvl w:val="255"/>
          <w:numId w:val="0"/>
        </w:numPr>
        <w:spacing w:line="240" w:lineRule="auto"/>
        <w:ind w:firstLine="422" w:firstLineChars="200"/>
        <w:jc w:val="left"/>
        <w:rPr>
          <w:rFonts w:hint="eastAsia" w:ascii="宋体" w:hAnsi="宋体" w:eastAsia="宋体" w:cs="Times New Roman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kern w:val="0"/>
          <w:sz w:val="21"/>
          <w:szCs w:val="21"/>
          <w:lang w:val="en-US" w:eastAsia="zh-CN"/>
        </w:rPr>
        <w:t>数据质控拆分及表达定量</w:t>
      </w:r>
    </w:p>
    <w:p>
      <w:pPr>
        <w:pStyle w:val="13"/>
        <w:numPr>
          <w:ilvl w:val="0"/>
          <w:numId w:val="3"/>
        </w:numPr>
        <w:spacing w:line="240" w:lineRule="auto"/>
        <w:ind w:left="840" w:leftChars="0" w:firstLineChars="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  <w:t>下机数据测序质量值分布统计；</w:t>
      </w:r>
    </w:p>
    <w:p>
      <w:pPr>
        <w:pStyle w:val="13"/>
        <w:numPr>
          <w:ilvl w:val="0"/>
          <w:numId w:val="3"/>
        </w:numPr>
        <w:spacing w:line="240" w:lineRule="auto"/>
        <w:ind w:left="840" w:leftChars="0" w:firstLineChars="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  <w:t>下机数据碱基含量分布；</w:t>
      </w:r>
    </w:p>
    <w:p>
      <w:pPr>
        <w:pStyle w:val="13"/>
        <w:numPr>
          <w:ilvl w:val="0"/>
          <w:numId w:val="3"/>
        </w:numPr>
        <w:spacing w:line="240" w:lineRule="auto"/>
        <w:ind w:left="840" w:leftChars="0" w:firstLineChars="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  <w:t>barcode拆分，有效spot数目统计，每个spot reads数目/UMI统计,饱和度统计等；</w:t>
      </w:r>
    </w:p>
    <w:p>
      <w:pPr>
        <w:pStyle w:val="13"/>
        <w:numPr>
          <w:ilvl w:val="0"/>
          <w:numId w:val="3"/>
        </w:numPr>
        <w:spacing w:line="240" w:lineRule="auto"/>
        <w:ind w:left="840" w:leftChars="0" w:firstLineChars="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  <w:t>与参考基因组比对；</w:t>
      </w:r>
    </w:p>
    <w:p>
      <w:pPr>
        <w:pStyle w:val="13"/>
        <w:numPr>
          <w:ilvl w:val="0"/>
          <w:numId w:val="3"/>
        </w:numPr>
        <w:spacing w:line="240" w:lineRule="auto"/>
        <w:ind w:left="840" w:leftChars="0" w:firstLineChars="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  <w:t>图像处理；</w:t>
      </w:r>
    </w:p>
    <w:p>
      <w:pPr>
        <w:pStyle w:val="13"/>
        <w:numPr>
          <w:ilvl w:val="0"/>
          <w:numId w:val="3"/>
        </w:numPr>
        <w:spacing w:line="240" w:lineRule="auto"/>
        <w:ind w:left="840" w:leftChars="0" w:firstLineChars="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  <w:t>基因表达定量分析</w:t>
      </w:r>
    </w:p>
    <w:p>
      <w:pPr>
        <w:pStyle w:val="13"/>
        <w:numPr>
          <w:ilvl w:val="255"/>
          <w:numId w:val="0"/>
        </w:numPr>
        <w:spacing w:line="240" w:lineRule="auto"/>
        <w:jc w:val="left"/>
        <w:rPr>
          <w:rFonts w:hint="eastAsia" w:ascii="宋体" w:hAnsi="宋体" w:eastAsia="宋体" w:cs="Times New Roman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1"/>
          <w:szCs w:val="21"/>
          <w:lang w:val="en-US" w:eastAsia="zh-CN"/>
        </w:rPr>
        <w:t xml:space="preserve"> </w:t>
      </w:r>
    </w:p>
    <w:p>
      <w:pPr>
        <w:pStyle w:val="13"/>
        <w:numPr>
          <w:ilvl w:val="255"/>
          <w:numId w:val="0"/>
        </w:numPr>
        <w:spacing w:line="240" w:lineRule="auto"/>
        <w:ind w:firstLine="422" w:firstLineChars="200"/>
        <w:jc w:val="left"/>
        <w:rPr>
          <w:rFonts w:ascii="宋体" w:hAnsi="宋体" w:eastAsia="宋体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kern w:val="0"/>
          <w:sz w:val="21"/>
          <w:szCs w:val="21"/>
        </w:rPr>
        <w:t>单样本分析-基因水平</w:t>
      </w:r>
    </w:p>
    <w:p>
      <w:pPr>
        <w:pStyle w:val="13"/>
        <w:numPr>
          <w:ilvl w:val="0"/>
          <w:numId w:val="3"/>
        </w:numPr>
        <w:spacing w:line="240" w:lineRule="auto"/>
        <w:ind w:left="840" w:leftChars="0" w:firstLineChars="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  <w:t>根据基因表达矩阵进行spot聚类分析：Graph-based和K-means；</w:t>
      </w:r>
    </w:p>
    <w:p>
      <w:pPr>
        <w:pStyle w:val="13"/>
        <w:numPr>
          <w:ilvl w:val="0"/>
          <w:numId w:val="3"/>
        </w:numPr>
        <w:spacing w:line="240" w:lineRule="auto"/>
        <w:ind w:left="840" w:leftChars="0" w:firstLineChars="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  <w:t>Seurat过滤并进行spot聚类分析：Graph-based</w:t>
      </w:r>
    </w:p>
    <w:p>
      <w:pPr>
        <w:pStyle w:val="13"/>
        <w:numPr>
          <w:ilvl w:val="0"/>
          <w:numId w:val="3"/>
        </w:numPr>
        <w:spacing w:line="240" w:lineRule="auto"/>
        <w:ind w:left="840" w:leftChars="0" w:firstLineChars="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  <w:t>基因表达量分析：基因表达定量；不同样品基因表达量总体分布分析（两个或以上样品）；</w:t>
      </w:r>
    </w:p>
    <w:p>
      <w:pPr>
        <w:pStyle w:val="13"/>
        <w:numPr>
          <w:ilvl w:val="0"/>
          <w:numId w:val="3"/>
        </w:numPr>
        <w:spacing w:line="240" w:lineRule="auto"/>
        <w:ind w:left="840" w:leftChars="0" w:firstLineChars="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  <w:t>差异表达基因分析（两个或以上样品）；空间各cluster特异表达基因分析；</w:t>
      </w:r>
    </w:p>
    <w:p>
      <w:pPr>
        <w:pStyle w:val="13"/>
        <w:numPr>
          <w:ilvl w:val="0"/>
          <w:numId w:val="3"/>
        </w:numPr>
        <w:spacing w:line="240" w:lineRule="auto"/>
        <w:ind w:left="840" w:leftChars="0" w:firstLineChars="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  <w:t>各clusterTop10差异基因空间分布/小提琴图/t-SNE/UMAP散点图/聚类热图展示；</w:t>
      </w:r>
    </w:p>
    <w:p>
      <w:pPr>
        <w:pStyle w:val="13"/>
        <w:numPr>
          <w:ilvl w:val="0"/>
          <w:numId w:val="3"/>
        </w:numPr>
        <w:spacing w:line="240" w:lineRule="auto"/>
        <w:ind w:left="840" w:leftChars="0" w:firstLineChars="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  <w:t>各cluster标记基因蛋白互作分析；</w:t>
      </w:r>
    </w:p>
    <w:p>
      <w:pPr>
        <w:pStyle w:val="13"/>
        <w:numPr>
          <w:ilvl w:val="0"/>
          <w:numId w:val="3"/>
        </w:numPr>
        <w:spacing w:line="240" w:lineRule="auto"/>
        <w:ind w:left="840" w:leftChars="0" w:firstLineChars="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  <w:t>差异表达基因聚类分析（两个或以上样品）；</w:t>
      </w:r>
    </w:p>
    <w:p>
      <w:pPr>
        <w:pStyle w:val="13"/>
        <w:numPr>
          <w:ilvl w:val="0"/>
          <w:numId w:val="3"/>
        </w:numPr>
        <w:spacing w:line="240" w:lineRule="auto"/>
        <w:ind w:left="840" w:leftChars="0" w:firstLineChars="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  <w:t>差异表达基因TF预测（仅限人和鼠）；</w:t>
      </w:r>
    </w:p>
    <w:p>
      <w:pPr>
        <w:pStyle w:val="13"/>
        <w:numPr>
          <w:ilvl w:val="0"/>
          <w:numId w:val="3"/>
        </w:numPr>
        <w:spacing w:line="240" w:lineRule="auto"/>
        <w:ind w:left="840" w:leftChars="0" w:firstLineChars="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  <w:t>差异表达基因蛋白互作分析；</w:t>
      </w:r>
    </w:p>
    <w:p>
      <w:pPr>
        <w:pStyle w:val="13"/>
        <w:numPr>
          <w:ilvl w:val="0"/>
          <w:numId w:val="3"/>
        </w:numPr>
        <w:spacing w:line="240" w:lineRule="auto"/>
        <w:ind w:left="840" w:leftChars="0" w:firstLineChars="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  <w:t>差异表达基因疾病数据库注释（仅限人）；</w:t>
      </w:r>
    </w:p>
    <w:p>
      <w:pPr>
        <w:pStyle w:val="13"/>
        <w:numPr>
          <w:ilvl w:val="0"/>
          <w:numId w:val="3"/>
        </w:numPr>
        <w:spacing w:line="240" w:lineRule="auto"/>
        <w:ind w:left="840" w:leftChars="0" w:firstLineChars="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  <w:t>差异表达基因的功能注释及富集分析：差异表达基因GO功能富集；差异表达基因KEGG通路富集分析与pathway 功能分析；</w:t>
      </w:r>
    </w:p>
    <w:p>
      <w:pPr>
        <w:pStyle w:val="13"/>
        <w:numPr>
          <w:ilvl w:val="0"/>
          <w:numId w:val="3"/>
        </w:numPr>
        <w:spacing w:line="240" w:lineRule="auto"/>
        <w:ind w:left="840" w:leftChars="0" w:firstLineChars="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  <w:t>各cluster 基因集富集分析；</w:t>
      </w:r>
    </w:p>
    <w:p>
      <w:pPr>
        <w:pStyle w:val="13"/>
        <w:numPr>
          <w:ilvl w:val="255"/>
          <w:numId w:val="0"/>
        </w:numPr>
        <w:spacing w:line="240" w:lineRule="auto"/>
        <w:ind w:firstLine="422" w:firstLineChars="200"/>
        <w:jc w:val="left"/>
        <w:rPr>
          <w:rFonts w:ascii="宋体" w:hAnsi="宋体" w:eastAsia="宋体" w:cs="Times New Roman"/>
          <w:b/>
          <w:bCs/>
          <w:kern w:val="0"/>
          <w:sz w:val="21"/>
          <w:szCs w:val="21"/>
        </w:rPr>
      </w:pPr>
    </w:p>
    <w:p>
      <w:pPr>
        <w:pStyle w:val="13"/>
        <w:numPr>
          <w:ilvl w:val="255"/>
          <w:numId w:val="0"/>
        </w:numPr>
        <w:spacing w:line="240" w:lineRule="auto"/>
        <w:ind w:firstLine="632" w:firstLineChars="300"/>
        <w:jc w:val="left"/>
        <w:rPr>
          <w:b/>
          <w:bCs/>
        </w:rPr>
      </w:pPr>
      <w:r>
        <w:rPr>
          <w:rFonts w:hint="eastAsia" w:ascii="宋体" w:hAnsi="宋体" w:eastAsia="宋体" w:cs="Times New Roman"/>
          <w:b/>
          <w:bCs/>
          <w:kern w:val="0"/>
          <w:sz w:val="21"/>
          <w:szCs w:val="21"/>
        </w:rPr>
        <w:t>多样本合并分析-基因水平</w:t>
      </w:r>
      <w:r>
        <w:rPr>
          <w:rFonts w:hint="eastAsia"/>
          <w:b/>
          <w:bCs/>
        </w:rPr>
        <w:t>，样本数&gt;=2</w:t>
      </w:r>
    </w:p>
    <w:p>
      <w:pPr>
        <w:pStyle w:val="13"/>
        <w:numPr>
          <w:ilvl w:val="0"/>
          <w:numId w:val="3"/>
        </w:numPr>
        <w:spacing w:line="240" w:lineRule="auto"/>
        <w:ind w:left="840" w:leftChars="0" w:firstLineChars="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  <w:t>多样本合并spot聚类分析：Graph-based；cluster比例分析；</w:t>
      </w:r>
    </w:p>
    <w:p>
      <w:pPr>
        <w:pStyle w:val="13"/>
        <w:numPr>
          <w:ilvl w:val="0"/>
          <w:numId w:val="3"/>
        </w:numPr>
        <w:spacing w:line="240" w:lineRule="auto"/>
        <w:ind w:left="840" w:leftChars="0" w:firstLineChars="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  <w:t>Seurat过滤并进行spot聚类分析：Graph-based；</w:t>
      </w:r>
    </w:p>
    <w:p>
      <w:pPr>
        <w:pStyle w:val="13"/>
        <w:numPr>
          <w:ilvl w:val="0"/>
          <w:numId w:val="3"/>
        </w:numPr>
        <w:spacing w:line="240" w:lineRule="auto"/>
        <w:ind w:left="840" w:leftChars="0" w:firstLineChars="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  <w:t>亚群间的基因差异表达分析；</w:t>
      </w:r>
    </w:p>
    <w:p>
      <w:pPr>
        <w:pStyle w:val="13"/>
        <w:numPr>
          <w:ilvl w:val="0"/>
          <w:numId w:val="3"/>
        </w:numPr>
        <w:spacing w:line="240" w:lineRule="auto"/>
        <w:ind w:left="840" w:leftChars="0" w:firstLineChars="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  <w:t>空间各cluster特异表达基因分析；</w:t>
      </w:r>
    </w:p>
    <w:p>
      <w:pPr>
        <w:pStyle w:val="13"/>
        <w:numPr>
          <w:ilvl w:val="0"/>
          <w:numId w:val="3"/>
        </w:numPr>
        <w:spacing w:line="240" w:lineRule="auto"/>
        <w:ind w:left="840" w:leftChars="0" w:firstLineChars="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  <w:t>各clusterTop10差异基因空间分布/小提琴图/t-SNE/UMAP散点图/聚类热图展示；</w:t>
      </w:r>
    </w:p>
    <w:p>
      <w:pPr>
        <w:pStyle w:val="13"/>
        <w:numPr>
          <w:ilvl w:val="0"/>
          <w:numId w:val="3"/>
        </w:numPr>
        <w:spacing w:line="240" w:lineRule="auto"/>
        <w:ind w:left="840" w:leftChars="0" w:firstLineChars="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  <w:t>各亚群不同组间基因差异表达分析(group&gt;=2)；</w:t>
      </w:r>
    </w:p>
    <w:p>
      <w:pPr>
        <w:pStyle w:val="13"/>
        <w:numPr>
          <w:ilvl w:val="0"/>
          <w:numId w:val="3"/>
        </w:numPr>
        <w:spacing w:line="240" w:lineRule="auto"/>
        <w:ind w:left="840" w:leftChars="0" w:firstLineChars="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  <w:t>差异基因GO分析；</w:t>
      </w:r>
    </w:p>
    <w:p>
      <w:pPr>
        <w:pStyle w:val="13"/>
        <w:numPr>
          <w:ilvl w:val="0"/>
          <w:numId w:val="3"/>
        </w:numPr>
        <w:spacing w:line="240" w:lineRule="auto"/>
        <w:ind w:left="840" w:leftChars="0" w:firstLineChars="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  <w:t>差异基因KEGG pathway分析；</w:t>
      </w:r>
    </w:p>
    <w:p>
      <w:pPr>
        <w:pStyle w:val="13"/>
        <w:numPr>
          <w:ilvl w:val="0"/>
          <w:numId w:val="3"/>
        </w:numPr>
        <w:spacing w:line="240" w:lineRule="auto"/>
        <w:ind w:left="840" w:leftChars="0" w:firstLineChars="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  <w:t>差异基因蛋白互作分析；</w:t>
      </w:r>
    </w:p>
    <w:p>
      <w:pPr>
        <w:pStyle w:val="13"/>
        <w:numPr>
          <w:ilvl w:val="0"/>
          <w:numId w:val="3"/>
        </w:numPr>
        <w:spacing w:line="240" w:lineRule="auto"/>
        <w:ind w:left="840" w:leftChars="0" w:firstLineChars="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  <w:t>差异基因疾病数据库注释（仅限人）；</w:t>
      </w:r>
    </w:p>
    <w:p>
      <w:pPr>
        <w:pStyle w:val="13"/>
        <w:numPr>
          <w:ilvl w:val="0"/>
          <w:numId w:val="3"/>
        </w:numPr>
        <w:spacing w:line="240" w:lineRule="auto"/>
        <w:ind w:left="840" w:leftChars="0" w:firstLineChars="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  <w:t>差异基因TF分析（仅限人和鼠）；</w:t>
      </w:r>
    </w:p>
    <w:p>
      <w:pPr>
        <w:pStyle w:val="13"/>
        <w:numPr>
          <w:ilvl w:val="0"/>
          <w:numId w:val="3"/>
        </w:numPr>
        <w:spacing w:line="240" w:lineRule="auto"/>
        <w:ind w:left="840" w:leftChars="0" w:firstLineChars="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 w:bidi="ar-SA"/>
        </w:rPr>
        <w:t>各cluster 基因集富集分析；</w:t>
      </w:r>
    </w:p>
    <w:p>
      <w:pPr>
        <w:pStyle w:val="2"/>
        <w:numPr>
          <w:ilvl w:val="0"/>
          <w:numId w:val="0"/>
        </w:numPr>
        <w:ind w:leftChars="200" w:right="6" w:rightChars="0"/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</w:pPr>
    </w:p>
    <w:p>
      <w:pPr>
        <w:numPr>
          <w:ilvl w:val="0"/>
          <w:numId w:val="4"/>
        </w:numPr>
        <w:spacing w:line="540" w:lineRule="exact"/>
        <w:ind w:firstLine="562" w:firstLineChars="200"/>
        <w:jc w:val="left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其他要求</w:t>
      </w:r>
    </w:p>
    <w:p>
      <w:pPr>
        <w:pStyle w:val="2"/>
        <w:numPr>
          <w:numId w:val="0"/>
        </w:numPr>
        <w:ind w:leftChars="200" w:right="6" w:rightChars="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无</w:t>
      </w:r>
      <w:bookmarkStart w:id="4" w:name="_GoBack"/>
      <w:bookmarkEnd w:id="4"/>
    </w:p>
    <w:bookmarkEnd w:id="3"/>
    <w:p>
      <w:pPr>
        <w:spacing w:line="560" w:lineRule="exact"/>
        <w:ind w:firstLine="560" w:firstLineChars="200"/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t>三、</w:t>
      </w:r>
      <w:r>
        <w:rPr>
          <w:rFonts w:eastAsia="黑体"/>
          <w:sz w:val="28"/>
          <w:szCs w:val="28"/>
          <w:highlight w:val="none"/>
        </w:rPr>
        <w:t>商务要求</w:t>
      </w:r>
    </w:p>
    <w:p>
      <w:pPr>
        <w:pStyle w:val="13"/>
        <w:widowControl w:val="0"/>
        <w:spacing w:line="560" w:lineRule="exact"/>
        <w:ind w:left="11" w:firstLine="560" w:firstLineChars="200"/>
        <w:jc w:val="both"/>
        <w:rPr>
          <w:rFonts w:ascii="Times New Roman" w:hAnsi="宋体"/>
          <w:sz w:val="28"/>
          <w:szCs w:val="28"/>
          <w:highlight w:val="none"/>
          <w:lang w:eastAsia="zh-CN"/>
        </w:rPr>
      </w:pPr>
      <w:r>
        <w:rPr>
          <w:rFonts w:ascii="宋体" w:hAnsi="宋体"/>
          <w:sz w:val="28"/>
          <w:szCs w:val="28"/>
          <w:highlight w:val="none"/>
          <w:lang w:val="zh-CN" w:eastAsia="zh-CN"/>
        </w:rPr>
        <w:t>★</w:t>
      </w:r>
      <w:r>
        <w:rPr>
          <w:rFonts w:ascii="Times New Roman" w:hAnsi="宋体"/>
          <w:sz w:val="28"/>
          <w:szCs w:val="28"/>
          <w:highlight w:val="none"/>
          <w:lang w:val="zh-CN" w:eastAsia="zh-CN"/>
        </w:rPr>
        <w:t>（一）</w:t>
      </w:r>
      <w:r>
        <w:rPr>
          <w:rFonts w:hint="eastAsia" w:ascii="Times New Roman" w:hAnsi="宋体"/>
          <w:sz w:val="28"/>
          <w:szCs w:val="28"/>
          <w:highlight w:val="none"/>
          <w:lang w:val="zh-CN" w:eastAsia="zh-CN"/>
        </w:rPr>
        <w:t>交付（服务）时间、地点</w:t>
      </w:r>
    </w:p>
    <w:p>
      <w:pPr>
        <w:pStyle w:val="13"/>
        <w:spacing w:line="560" w:lineRule="exact"/>
        <w:ind w:left="11" w:firstLine="560" w:firstLineChars="200"/>
        <w:rPr>
          <w:rFonts w:ascii="Times New Roman" w:hAnsi="宋体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1.</w:t>
      </w:r>
      <w:r>
        <w:rPr>
          <w:rFonts w:hint="eastAsia" w:ascii="Times New Roman" w:hAnsi="宋体"/>
          <w:sz w:val="28"/>
          <w:szCs w:val="28"/>
          <w:highlight w:val="none"/>
          <w:lang w:eastAsia="zh-CN"/>
        </w:rPr>
        <w:t>交付（服务）时间：</w:t>
      </w:r>
      <w:r>
        <w:rPr>
          <w:rFonts w:hint="eastAsia" w:ascii="Times New Roman" w:hAnsi="宋体"/>
          <w:sz w:val="28"/>
          <w:szCs w:val="28"/>
          <w:highlight w:val="none"/>
          <w:u w:val="single"/>
          <w:lang w:eastAsia="zh-CN"/>
        </w:rPr>
        <w:t>合同签订之日起3个月内完成测试及后续分析。</w:t>
      </w:r>
    </w:p>
    <w:p>
      <w:pPr>
        <w:pStyle w:val="13"/>
        <w:spacing w:line="560" w:lineRule="exact"/>
        <w:ind w:left="11" w:firstLine="560" w:firstLineChars="200"/>
        <w:rPr>
          <w:rFonts w:ascii="Times New Roman" w:hAnsi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2.</w:t>
      </w:r>
      <w:r>
        <w:rPr>
          <w:rFonts w:hint="eastAsia" w:ascii="Times New Roman" w:hAnsi="宋体"/>
          <w:sz w:val="28"/>
          <w:szCs w:val="28"/>
          <w:highlight w:val="none"/>
          <w:lang w:eastAsia="zh-CN"/>
        </w:rPr>
        <w:t xml:space="preserve">交付（服务）地点： </w:t>
      </w:r>
      <w:r>
        <w:rPr>
          <w:rFonts w:hint="eastAsia" w:ascii="Times New Roman" w:hAnsi="宋体"/>
          <w:sz w:val="28"/>
          <w:szCs w:val="28"/>
          <w:highlight w:val="none"/>
          <w:u w:val="single"/>
          <w:lang w:val="en-US" w:eastAsia="zh-CN"/>
        </w:rPr>
        <w:t>甲方</w:t>
      </w:r>
      <w:r>
        <w:rPr>
          <w:rFonts w:hint="eastAsia" w:ascii="Times New Roman" w:hAnsi="宋体"/>
          <w:sz w:val="28"/>
          <w:szCs w:val="28"/>
          <w:highlight w:val="none"/>
          <w:u w:val="single"/>
          <w:lang w:eastAsia="zh-CN"/>
        </w:rPr>
        <w:t>指定地点</w:t>
      </w:r>
      <w:r>
        <w:rPr>
          <w:rFonts w:hint="eastAsia" w:ascii="Times New Roman" w:hAnsi="宋体"/>
          <w:sz w:val="28"/>
          <w:szCs w:val="28"/>
          <w:highlight w:val="none"/>
          <w:lang w:eastAsia="zh-CN"/>
        </w:rPr>
        <w:t>。</w:t>
      </w:r>
    </w:p>
    <w:p>
      <w:pPr>
        <w:pStyle w:val="13"/>
        <w:widowControl w:val="0"/>
        <w:spacing w:line="560" w:lineRule="exact"/>
        <w:ind w:left="11" w:firstLine="560" w:firstLineChars="200"/>
        <w:jc w:val="both"/>
        <w:rPr>
          <w:rFonts w:hint="eastAsia" w:ascii="宋体" w:hAnsi="宋体"/>
          <w:sz w:val="28"/>
          <w:szCs w:val="28"/>
          <w:highlight w:val="none"/>
          <w:lang w:val="zh-CN" w:eastAsia="zh-CN"/>
        </w:rPr>
      </w:pPr>
      <w:r>
        <w:rPr>
          <w:rFonts w:hint="eastAsia" w:ascii="宋体" w:hAnsi="宋体"/>
          <w:sz w:val="28"/>
          <w:szCs w:val="28"/>
          <w:highlight w:val="none"/>
          <w:lang w:val="zh-CN" w:eastAsia="zh-CN"/>
        </w:rPr>
        <w:t>★</w:t>
      </w:r>
      <w:r>
        <w:rPr>
          <w:rFonts w:ascii="Times New Roman" w:hAnsi="宋体"/>
          <w:sz w:val="28"/>
          <w:szCs w:val="28"/>
          <w:highlight w:val="none"/>
          <w:lang w:val="zh-CN" w:eastAsia="zh-CN"/>
        </w:rPr>
        <w:t>（二）</w:t>
      </w:r>
      <w:r>
        <w:rPr>
          <w:rFonts w:hint="eastAsia" w:ascii="宋体" w:hAnsi="宋体"/>
          <w:sz w:val="28"/>
          <w:szCs w:val="28"/>
          <w:highlight w:val="none"/>
          <w:lang w:val="zh-CN" w:eastAsia="zh-CN"/>
        </w:rPr>
        <w:t>售后服务</w:t>
      </w:r>
    </w:p>
    <w:p>
      <w:pPr>
        <w:pStyle w:val="13"/>
        <w:widowControl w:val="0"/>
        <w:spacing w:line="560" w:lineRule="exact"/>
        <w:ind w:left="11" w:firstLine="560" w:firstLineChars="200"/>
        <w:jc w:val="both"/>
        <w:rPr>
          <w:rFonts w:ascii="宋体" w:hAnsi="宋体"/>
          <w:sz w:val="28"/>
          <w:szCs w:val="28"/>
          <w:highlight w:val="none"/>
          <w:lang w:val="zh-CN" w:eastAsia="zh-CN"/>
        </w:rPr>
      </w:pPr>
      <w:r>
        <w:rPr>
          <w:rFonts w:hint="eastAsia" w:ascii="宋体" w:hAnsi="宋体"/>
          <w:sz w:val="28"/>
          <w:szCs w:val="28"/>
          <w:highlight w:val="none"/>
          <w:lang w:val="zh-CN" w:eastAsia="zh-CN"/>
        </w:rPr>
        <w:t>投标供应商须提供分析培训服务（包括线下课程或线上培训视频课程等，不小于20课时），并及时提供的分析相关问题解答。</w:t>
      </w:r>
    </w:p>
    <w:p>
      <w:pPr>
        <w:pStyle w:val="13"/>
        <w:widowControl w:val="0"/>
        <w:spacing w:line="560" w:lineRule="exact"/>
        <w:ind w:left="11" w:firstLine="560" w:firstLineChars="200"/>
        <w:jc w:val="both"/>
        <w:rPr>
          <w:rFonts w:ascii="Times New Roman" w:hAnsi="Times New Roman"/>
          <w:b/>
          <w:sz w:val="28"/>
          <w:szCs w:val="28"/>
          <w:highlight w:val="none"/>
          <w:lang w:eastAsia="zh-CN"/>
        </w:rPr>
      </w:pPr>
      <w:r>
        <w:rPr>
          <w:rFonts w:ascii="宋体" w:hAnsi="宋体"/>
          <w:sz w:val="28"/>
          <w:szCs w:val="28"/>
          <w:highlight w:val="none"/>
          <w:lang w:val="zh-CN" w:eastAsia="zh-CN"/>
        </w:rPr>
        <w:t>★</w:t>
      </w:r>
      <w:r>
        <w:rPr>
          <w:rFonts w:ascii="Times New Roman" w:hAnsi="宋体"/>
          <w:sz w:val="28"/>
          <w:szCs w:val="28"/>
          <w:highlight w:val="none"/>
          <w:lang w:val="zh-CN" w:eastAsia="zh-CN"/>
        </w:rPr>
        <w:t>（三）</w:t>
      </w:r>
      <w:r>
        <w:rPr>
          <w:rFonts w:ascii="Times New Roman" w:hAnsi="宋体"/>
          <w:sz w:val="28"/>
          <w:szCs w:val="28"/>
          <w:highlight w:val="none"/>
          <w:lang w:eastAsia="zh-CN"/>
        </w:rPr>
        <w:t>保密要求</w:t>
      </w:r>
    </w:p>
    <w:p>
      <w:pPr>
        <w:spacing w:line="540" w:lineRule="exact"/>
        <w:ind w:firstLine="560" w:firstLineChars="200"/>
        <w:rPr>
          <w:rFonts w:hint="eastAsia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  <w:lang w:val="zh-CN"/>
        </w:rPr>
        <w:t>对采购单位提供的人员、地址、采购情况等信息要保守秘密，不得向外界透露。中标通知书发出后，采购单位将与中标供应商签订保密协议。</w:t>
      </w:r>
      <w:r>
        <w:rPr>
          <w:sz w:val="28"/>
          <w:szCs w:val="28"/>
          <w:highlight w:val="none"/>
        </w:rPr>
        <w:t xml:space="preserve">    </w:t>
      </w:r>
      <w:r>
        <w:rPr>
          <w:rFonts w:hint="eastAsia" w:ascii="宋体" w:hAnsi="宋体"/>
          <w:sz w:val="28"/>
          <w:szCs w:val="28"/>
          <w:highlight w:val="none"/>
          <w:lang w:val="zh-CN"/>
        </w:rPr>
        <w:t xml:space="preserve"> </w:t>
      </w:r>
    </w:p>
    <w:p>
      <w:pPr>
        <w:spacing w:line="540" w:lineRule="exact"/>
        <w:ind w:firstLine="560" w:firstLineChars="200"/>
        <w:rPr>
          <w:rFonts w:ascii="楷体_GB2312" w:eastAsia="楷体_GB2312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  <w:lang w:val="zh-CN"/>
        </w:rPr>
        <w:t>★（四）</w:t>
      </w:r>
      <w:r>
        <w:rPr>
          <w:rFonts w:hint="eastAsia" w:hAnsi="宋体"/>
          <w:sz w:val="28"/>
          <w:szCs w:val="28"/>
          <w:highlight w:val="none"/>
        </w:rPr>
        <w:t>付款方式</w:t>
      </w:r>
    </w:p>
    <w:p>
      <w:pPr>
        <w:spacing w:line="540" w:lineRule="exact"/>
        <w:ind w:firstLine="560" w:firstLineChars="20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签订合同后支付预付款</w:t>
      </w:r>
      <w:r>
        <w:rPr>
          <w:rFonts w:hint="eastAsia"/>
          <w:sz w:val="28"/>
          <w:szCs w:val="28"/>
          <w:highlight w:val="none"/>
          <w:lang w:val="en-US" w:eastAsia="zh-CN"/>
        </w:rPr>
        <w:t>5</w:t>
      </w:r>
      <w:r>
        <w:rPr>
          <w:rFonts w:hint="eastAsia"/>
          <w:sz w:val="28"/>
          <w:szCs w:val="28"/>
          <w:highlight w:val="none"/>
        </w:rPr>
        <w:t>0%，服务完成后，合同乙方向采购单位提交发票、验收报告等结算资料，采购单位在30天内向乙方支付剩余款项。</w:t>
      </w:r>
    </w:p>
    <w:p>
      <w:pPr>
        <w:spacing w:line="540" w:lineRule="exact"/>
        <w:ind w:firstLine="560" w:firstLineChars="20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（五）验收方式</w:t>
      </w:r>
    </w:p>
    <w:p>
      <w:pPr>
        <w:spacing w:line="540" w:lineRule="exact"/>
        <w:ind w:firstLine="560" w:firstLineChars="200"/>
        <w:rPr>
          <w:rFonts w:ascii="宋体" w:hAnsi="宋体"/>
          <w:snapToGrid w:val="0"/>
          <w:sz w:val="28"/>
          <w:szCs w:val="28"/>
          <w:highlight w:val="none"/>
        </w:rPr>
        <w:sectPr>
          <w:headerReference r:id="rId3" w:type="default"/>
          <w:footerReference r:id="rId4" w:type="default"/>
          <w:pgSz w:w="11906" w:h="16838"/>
          <w:pgMar w:top="1418" w:right="1134" w:bottom="1418" w:left="1418" w:header="851" w:footer="851" w:gutter="0"/>
          <w:cols w:space="720" w:num="1"/>
          <w:docGrid w:linePitch="388" w:charSpace="-1260"/>
        </w:sectPr>
      </w:pPr>
      <w:r>
        <w:rPr>
          <w:rFonts w:hint="eastAsia"/>
          <w:sz w:val="28"/>
          <w:szCs w:val="28"/>
          <w:highlight w:val="none"/>
        </w:rPr>
        <w:t>数据验收标准：合同乙方交付所有样本测序数据、交付数据分析结果。所有文件均通过云交付以及硬盘拷贝交付。</w:t>
      </w:r>
    </w:p>
    <w:p>
      <w:pPr>
        <w:widowControl/>
        <w:tabs>
          <w:tab w:val="left" w:pos="4140"/>
        </w:tabs>
        <w:spacing w:line="570" w:lineRule="exact"/>
        <w:rPr>
          <w:rFonts w:hint="eastAsia" w:ascii="仿宋_GB2312" w:cs="宋体"/>
          <w:sz w:val="28"/>
          <w:szCs w:val="28"/>
          <w:highlight w:val="none"/>
        </w:rPr>
      </w:pPr>
    </w:p>
    <w:sectPr>
      <w:headerReference r:id="rId5" w:type="default"/>
      <w:pgSz w:w="11906" w:h="16838"/>
      <w:pgMar w:top="1418" w:right="1134" w:bottom="1418" w:left="1418" w:header="851" w:footer="85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</w:pPr>
    <w:r>
      <w:rPr>
        <w:rFonts w:hint="eastAsia"/>
      </w:rPr>
      <w:t>—</w:t>
    </w:r>
    <w:r>
      <w:rPr>
        <w:rFonts w:hint="eastAsia"/>
        <w:sz w:val="21"/>
        <w:szCs w:val="21"/>
      </w:rPr>
      <w:t xml:space="preserve"> </w:t>
    </w:r>
    <w:r>
      <w:rPr>
        <w:sz w:val="24"/>
        <w:szCs w:val="24"/>
      </w:rPr>
      <w:fldChar w:fldCharType="begin"/>
    </w:r>
    <w:r>
      <w:rPr>
        <w:rStyle w:val="10"/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rStyle w:val="10"/>
        <w:sz w:val="24"/>
        <w:szCs w:val="24"/>
      </w:rPr>
      <w:t>60</w:t>
    </w:r>
    <w:r>
      <w:rPr>
        <w:sz w:val="24"/>
        <w:szCs w:val="24"/>
      </w:rPr>
      <w:fldChar w:fldCharType="end"/>
    </w:r>
    <w:r>
      <w:rPr>
        <w:rFonts w:hint="eastAsia"/>
        <w:sz w:val="21"/>
        <w:szCs w:val="21"/>
      </w:rPr>
      <w:t xml:space="preserve"> </w:t>
    </w:r>
    <w:r>
      <w:rPr>
        <w:rFonts w:hint="eastAsia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ascii="楷体_GB2312" w:eastAsia="楷体_GB2312"/>
        <w:sz w:val="21"/>
        <w:szCs w:val="21"/>
      </w:rPr>
    </w:pPr>
    <w:r>
      <w:rPr>
        <w:rFonts w:hint="eastAsia" w:ascii="楷体_GB2312" w:eastAsia="楷体_GB2312"/>
        <w:sz w:val="21"/>
        <w:szCs w:val="21"/>
      </w:rPr>
      <w:t>招标文件</w:t>
    </w:r>
    <w:r>
      <w:rPr>
        <w:rFonts w:ascii="楷体_GB2312" w:eastAsia="楷体_GB2312"/>
        <w:sz w:val="21"/>
        <w:szCs w:val="21"/>
      </w:rPr>
      <w:t xml:space="preserve">                            </w:t>
    </w:r>
    <w:r>
      <w:rPr>
        <w:rFonts w:hint="eastAsia" w:ascii="楷体_GB2312" w:eastAsia="楷体_GB2312"/>
        <w:sz w:val="21"/>
        <w:szCs w:val="21"/>
      </w:rPr>
      <w:t xml:space="preserve">   </w:t>
    </w:r>
    <w:r>
      <w:rPr>
        <w:rFonts w:ascii="楷体_GB2312" w:eastAsia="楷体_GB2312"/>
        <w:sz w:val="21"/>
        <w:szCs w:val="21"/>
      </w:rPr>
      <w:t xml:space="preserve">                         </w:t>
    </w:r>
    <w:r>
      <w:rPr>
        <w:rFonts w:hint="eastAsia" w:ascii="楷体_GB2312" w:eastAsia="楷体_GB2312"/>
        <w:sz w:val="21"/>
        <w:szCs w:val="21"/>
      </w:rPr>
      <w:t xml:space="preserve">           </w:t>
    </w:r>
    <w:r>
      <w:rPr>
        <w:rFonts w:ascii="楷体_GB2312" w:eastAsia="楷体_GB2312"/>
        <w:sz w:val="21"/>
        <w:szCs w:val="21"/>
      </w:rPr>
      <w:t>技术和</w:t>
    </w:r>
    <w:r>
      <w:rPr>
        <w:rFonts w:hint="eastAsia" w:ascii="楷体_GB2312" w:eastAsia="楷体_GB2312"/>
        <w:sz w:val="21"/>
        <w:szCs w:val="21"/>
      </w:rPr>
      <w:t>商</w:t>
    </w:r>
    <w:r>
      <w:rPr>
        <w:rFonts w:ascii="楷体_GB2312" w:eastAsia="楷体_GB2312"/>
        <w:sz w:val="21"/>
        <w:szCs w:val="21"/>
      </w:rPr>
      <w:t>务要求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ascii="楷体_GB2312" w:eastAsia="楷体_GB2312"/>
        <w:bCs/>
        <w:sz w:val="21"/>
        <w:szCs w:val="21"/>
      </w:rPr>
    </w:pPr>
    <w:r>
      <w:rPr>
        <w:rFonts w:hint="eastAsia" w:ascii="楷体_GB2312" w:eastAsia="楷体_GB2312"/>
        <w:bCs/>
        <w:sz w:val="21"/>
        <w:szCs w:val="21"/>
      </w:rPr>
      <w:t>招标文件</w:t>
    </w:r>
    <w:r>
      <w:rPr>
        <w:rFonts w:ascii="楷体_GB2312" w:eastAsia="楷体_GB2312"/>
        <w:bCs/>
        <w:sz w:val="21"/>
        <w:szCs w:val="21"/>
      </w:rPr>
      <w:t xml:space="preserve">                                                             </w:t>
    </w:r>
    <w:r>
      <w:rPr>
        <w:rFonts w:ascii="楷体_GB2312" w:hAnsi="华文中宋" w:eastAsia="楷体_GB2312"/>
        <w:sz w:val="21"/>
        <w:szCs w:val="21"/>
      </w:rPr>
      <w:t xml:space="preserve">       </w:t>
    </w:r>
    <w:r>
      <w:rPr>
        <w:rFonts w:hint="eastAsia" w:ascii="楷体_GB2312" w:hAnsi="华文中宋" w:eastAsia="楷体_GB2312"/>
        <w:sz w:val="21"/>
        <w:szCs w:val="21"/>
      </w:rPr>
      <w:t>投标文件格式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513EAB"/>
    <w:multiLevelType w:val="singleLevel"/>
    <w:tmpl w:val="E1513EAB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93B381A"/>
    <w:multiLevelType w:val="singleLevel"/>
    <w:tmpl w:val="093B38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0DF775C"/>
    <w:multiLevelType w:val="multilevel"/>
    <w:tmpl w:val="10DF775C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0" w:hanging="420"/>
      </w:pPr>
      <w:rPr>
        <w:rFonts w:hint="default" w:ascii="Times New Roman" w:hAnsi="Times New Roman" w:eastAsia="仿宋_GB2312" w:cs="Times New Roman"/>
      </w:rPr>
    </w:lvl>
    <w:lvl w:ilvl="1" w:tentative="0">
      <w:start w:val="1"/>
      <w:numFmt w:val="decimal"/>
      <w:lvlText w:val="(%2)"/>
      <w:lvlJc w:val="left"/>
      <w:pPr>
        <w:tabs>
          <w:tab w:val="left" w:pos="420"/>
        </w:tabs>
        <w:ind w:left="2400" w:hanging="420"/>
      </w:pPr>
      <w:rPr>
        <w:rFonts w:hint="default" w:ascii="宋体" w:hAnsi="宋体" w:eastAsia="宋体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42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42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4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2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42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"/>
        </w:tabs>
        <w:ind w:left="4200" w:hanging="420"/>
      </w:pPr>
    </w:lvl>
  </w:abstractNum>
  <w:abstractNum w:abstractNumId="3">
    <w:nsid w:val="39DA2991"/>
    <w:multiLevelType w:val="multilevel"/>
    <w:tmpl w:val="39DA2991"/>
    <w:lvl w:ilvl="0" w:tentative="0">
      <w:start w:val="1"/>
      <w:numFmt w:val="chineseCountingThousand"/>
      <w:suff w:val="nothing"/>
      <w:lvlText w:val="%1、"/>
      <w:lvlJc w:val="left"/>
      <w:pPr>
        <w:ind w:left="13" w:firstLine="555"/>
      </w:pPr>
      <w:rPr>
        <w:rFonts w:hint="eastAsia" w:cs="Times New Roman"/>
        <w:b w:val="0"/>
      </w:rPr>
    </w:lvl>
    <w:lvl w:ilvl="1" w:tentative="0">
      <w:start w:val="1"/>
      <w:numFmt w:val="japaneseCounting"/>
      <w:lvlText w:val="%2、"/>
      <w:lvlJc w:val="left"/>
      <w:pPr>
        <w:ind w:left="1701" w:hanging="72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ind w:left="1821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41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661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081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01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21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41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ZmEwMTM3ZWZlMDRhODdiOTg3NzcyOTYwOWI1MTUifQ=="/>
  </w:docVars>
  <w:rsids>
    <w:rsidRoot w:val="00000000"/>
    <w:rsid w:val="0BC707E8"/>
    <w:rsid w:val="0E071466"/>
    <w:rsid w:val="18DF61F3"/>
    <w:rsid w:val="1B843EA1"/>
    <w:rsid w:val="292B2624"/>
    <w:rsid w:val="2B370031"/>
    <w:rsid w:val="2DED705F"/>
    <w:rsid w:val="32F91BE5"/>
    <w:rsid w:val="36265D38"/>
    <w:rsid w:val="3833001C"/>
    <w:rsid w:val="3A61516B"/>
    <w:rsid w:val="40450709"/>
    <w:rsid w:val="412D429A"/>
    <w:rsid w:val="42B20B61"/>
    <w:rsid w:val="4D843B60"/>
    <w:rsid w:val="4DA93FB0"/>
    <w:rsid w:val="584B5772"/>
    <w:rsid w:val="5BE975E6"/>
    <w:rsid w:val="5DD4339A"/>
    <w:rsid w:val="605D31FB"/>
    <w:rsid w:val="69F439DC"/>
    <w:rsid w:val="6FA20717"/>
    <w:rsid w:val="70EC7F4D"/>
    <w:rsid w:val="725E4393"/>
    <w:rsid w:val="75821935"/>
    <w:rsid w:val="760D770D"/>
    <w:rsid w:val="7EFD73C8"/>
    <w:rsid w:val="7FC7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6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6"/>
    <w:pPr>
      <w:autoSpaceDE w:val="0"/>
      <w:autoSpaceDN w:val="0"/>
      <w:adjustRightInd w:val="0"/>
      <w:ind w:left="256" w:right="6" w:firstLine="624" w:firstLineChars="200"/>
    </w:pPr>
    <w:rPr>
      <w:rFonts w:eastAsia="仿宋_GB2312"/>
      <w:kern w:val="0"/>
      <w:sz w:val="28"/>
      <w:szCs w:val="20"/>
    </w:rPr>
  </w:style>
  <w:style w:type="paragraph" w:styleId="3">
    <w:name w:val="Plain Text"/>
    <w:basedOn w:val="1"/>
    <w:qFormat/>
    <w:uiPriority w:val="0"/>
    <w:rPr>
      <w:rFonts w:ascii="宋体" w:hAnsi="Courier New" w:cs="Courier New"/>
      <w:kern w:val="2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  <w:pPr>
      <w:tabs>
        <w:tab w:val="right" w:leader="dot" w:pos="8658"/>
      </w:tabs>
      <w:spacing w:line="360" w:lineRule="auto"/>
      <w:ind w:left="935" w:leftChars="400"/>
    </w:pPr>
    <w:rPr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page number"/>
    <w:qFormat/>
    <w:uiPriority w:val="0"/>
    <w:rPr>
      <w:rFonts w:cs="Times New Roman"/>
    </w:r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paragraph" w:customStyle="1" w:styleId="12">
    <w:name w:val="正文文字缩进"/>
    <w:qFormat/>
    <w:uiPriority w:val="0"/>
    <w:pPr>
      <w:spacing w:line="351" w:lineRule="atLeast"/>
      <w:ind w:firstLine="555"/>
      <w:textAlignment w:val="baseline"/>
    </w:pPr>
    <w:rPr>
      <w:rFonts w:ascii="Times New Roman" w:hAnsi="Times New Roman" w:eastAsia="宋体" w:cs="Times New Roman"/>
      <w:color w:val="000000"/>
      <w:sz w:val="28"/>
      <w:lang w:val="en-US" w:eastAsia="zh-CN" w:bidi="ar-SA"/>
    </w:rPr>
  </w:style>
  <w:style w:type="paragraph" w:customStyle="1" w:styleId="13">
    <w:name w:val="列出段落1"/>
    <w:basedOn w:val="1"/>
    <w:qFormat/>
    <w:uiPriority w:val="0"/>
    <w:pPr>
      <w:widowControl/>
      <w:ind w:left="720" w:firstLine="360"/>
      <w:jc w:val="left"/>
    </w:pPr>
    <w:rPr>
      <w:rFonts w:ascii="Calibri" w:hAnsi="Calibri"/>
      <w:sz w:val="22"/>
      <w:szCs w:val="20"/>
      <w:lang w:eastAsia="en-US"/>
    </w:rPr>
  </w:style>
  <w:style w:type="character" w:customStyle="1" w:styleId="14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6">
    <w:name w:val="List Paragraph"/>
    <w:basedOn w:val="1"/>
    <w:qFormat/>
    <w:uiPriority w:val="0"/>
    <w:pPr>
      <w:ind w:firstLine="420" w:firstLineChars="200"/>
    </w:pPr>
  </w:style>
  <w:style w:type="paragraph" w:customStyle="1" w:styleId="17">
    <w:name w:val="列出段落12"/>
    <w:basedOn w:val="1"/>
    <w:qFormat/>
    <w:uiPriority w:val="0"/>
    <w:pPr>
      <w:widowControl/>
      <w:ind w:left="720" w:firstLine="360"/>
      <w:jc w:val="left"/>
    </w:pPr>
    <w:rPr>
      <w:rFonts w:ascii="Calibri" w:hAnsi="Calibri"/>
      <w:sz w:val="22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2321</Words>
  <Characters>2899</Characters>
  <Lines>0</Lines>
  <Paragraphs>0</Paragraphs>
  <TotalTime>11</TotalTime>
  <ScaleCrop>false</ScaleCrop>
  <LinksUpToDate>false</LinksUpToDate>
  <CharactersWithSpaces>2966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2021-11-07T03:04:00Z</dcterms:created>
  <dc:creator>zhanghw</dc:creator>
  <cp:lastModifiedBy>SWJ</cp:lastModifiedBy>
  <cp:lastPrinted>2023-01-03T02:57:00Z</cp:lastPrinted>
  <dcterms:modified xsi:type="dcterms:W3CDTF">2023-05-30T06:41:38Z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D849C5C3E30A43FF8DF8FB8AE68A3E5F_13</vt:lpwstr>
  </property>
</Properties>
</file>